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5466F" w14:textId="77777777" w:rsidR="00D0655D" w:rsidRPr="00FA489E" w:rsidRDefault="00D0655D" w:rsidP="00D0655D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  <w:r w:rsidRPr="00FA489E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7880BB6F" wp14:editId="7DA394E5">
            <wp:extent cx="6351814" cy="3200400"/>
            <wp:effectExtent l="0" t="0" r="11430" b="1270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035BEC31" w14:textId="77777777" w:rsidR="00D0655D" w:rsidRPr="008E3DA5" w:rsidRDefault="00D0655D" w:rsidP="00D0655D">
      <w:pPr>
        <w:spacing w:line="276" w:lineRule="auto"/>
        <w:rPr>
          <w:rFonts w:ascii="Arial" w:eastAsia="Verdana" w:hAnsi="Arial" w:cs="Arial"/>
          <w:color w:val="7F7F7F" w:themeColor="text1" w:themeTint="80"/>
          <w:sz w:val="18"/>
          <w:szCs w:val="18"/>
        </w:rPr>
      </w:pPr>
      <w:r w:rsidRPr="008E3DA5">
        <w:rPr>
          <w:rFonts w:ascii="Arial" w:hAnsi="Arial" w:cs="Arial"/>
          <w:iCs/>
          <w:color w:val="7F7F7F" w:themeColor="text1" w:themeTint="80"/>
          <w:sz w:val="18"/>
          <w:szCs w:val="18"/>
        </w:rPr>
        <w:t xml:space="preserve">Source: OVBC survey conducted </w:t>
      </w:r>
      <w:r w:rsidRPr="008E3DA5">
        <w:rPr>
          <w:rFonts w:ascii="Arial" w:eastAsia="Verdana" w:hAnsi="Arial" w:cs="Arial"/>
          <w:color w:val="7F7F7F" w:themeColor="text1" w:themeTint="80"/>
          <w:sz w:val="18"/>
          <w:szCs w:val="18"/>
        </w:rPr>
        <w:t>November 10–19, 2022, among Oregon adults</w:t>
      </w:r>
      <w:r>
        <w:rPr>
          <w:rFonts w:ascii="Arial" w:eastAsia="Verdana" w:hAnsi="Arial" w:cs="Arial"/>
          <w:color w:val="7F7F7F" w:themeColor="text1" w:themeTint="80"/>
          <w:sz w:val="18"/>
          <w:szCs w:val="18"/>
        </w:rPr>
        <w:t xml:space="preserve"> (representative sample, </w:t>
      </w:r>
      <w:r w:rsidRPr="00BE0377">
        <w:rPr>
          <w:rFonts w:ascii="Arial" w:eastAsia="Verdana" w:hAnsi="Arial" w:cs="Arial"/>
          <w:i/>
          <w:color w:val="7F7F7F" w:themeColor="text1" w:themeTint="80"/>
          <w:sz w:val="18"/>
          <w:szCs w:val="18"/>
        </w:rPr>
        <w:t>N</w:t>
      </w:r>
      <w:r w:rsidRPr="001116E1">
        <w:rPr>
          <w:rFonts w:ascii="Arial" w:eastAsia="Verdana" w:hAnsi="Arial" w:cs="Arial"/>
          <w:color w:val="7F7F7F" w:themeColor="text1" w:themeTint="80"/>
          <w:sz w:val="18"/>
          <w:szCs w:val="18"/>
        </w:rPr>
        <w:t xml:space="preserve"> </w:t>
      </w:r>
      <w:r>
        <w:rPr>
          <w:rFonts w:ascii="Arial" w:eastAsia="Verdana" w:hAnsi="Arial" w:cs="Arial"/>
          <w:color w:val="7F7F7F" w:themeColor="text1" w:themeTint="80"/>
          <w:sz w:val="18"/>
          <w:szCs w:val="18"/>
        </w:rPr>
        <w:t xml:space="preserve">= </w:t>
      </w:r>
      <w:r w:rsidRPr="001116E1">
        <w:rPr>
          <w:rFonts w:ascii="Arial" w:eastAsia="Verdana" w:hAnsi="Arial" w:cs="Arial"/>
          <w:color w:val="7F7F7F" w:themeColor="text1" w:themeTint="80"/>
          <w:sz w:val="18"/>
          <w:szCs w:val="18"/>
        </w:rPr>
        <w:t>1,554)</w:t>
      </w:r>
      <w:r>
        <w:rPr>
          <w:rFonts w:ascii="Arial" w:eastAsia="Verdana" w:hAnsi="Arial" w:cs="Arial"/>
          <w:color w:val="7F7F7F" w:themeColor="text1" w:themeTint="80"/>
          <w:sz w:val="18"/>
          <w:szCs w:val="18"/>
        </w:rPr>
        <w:t>.</w:t>
      </w:r>
    </w:p>
    <w:p w14:paraId="0B1D3E36" w14:textId="77777777" w:rsidR="008A190F" w:rsidRDefault="008A190F"/>
    <w:sectPr w:rsidR="008A19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55D"/>
    <w:rsid w:val="008A190F"/>
    <w:rsid w:val="00D06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2091C"/>
  <w15:chartTrackingRefBased/>
  <w15:docId w15:val="{550C0C8D-4345-439E-9452-EEE9715C0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55D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Acceptability of Forest Practices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50958910580088712"/>
          <c:y val="0.14716285464316961"/>
          <c:w val="0.44166678475328558"/>
          <c:h val="0.67005843019622546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5--Very acceptable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Sheet1!$A$2:$A$10</c:f>
              <c:strCache>
                <c:ptCount val="9"/>
                <c:pt idx="0">
                  <c:v>Aerial spraying of herbicides (Q25)</c:v>
                </c:pt>
                <c:pt idx="1">
                  <c:v>Ground spraying of herbicides (Q24)</c:v>
                </c:pt>
                <c:pt idx="2">
                  <c:v>Stand rotation ages &lt; 50 years (Q27)</c:v>
                </c:pt>
                <c:pt idx="3">
                  <c:v>Stand rotation ages &gt; 80 years (Q28)</c:v>
                </c:pt>
                <c:pt idx="4">
                  <c:v>Prescribed burning (Q26)</c:v>
                </c:pt>
                <c:pt idx="5">
                  <c:v>Thinning to reduce fuels, keeping the largest trees (Q30)</c:v>
                </c:pt>
                <c:pt idx="6">
                  <c:v>Mixed species stands including hardwoods and conifers (Q32)</c:v>
                </c:pt>
                <c:pt idx="7">
                  <c:v>Retain some trees in each stand, more than one rotation (Q29)</c:v>
                </c:pt>
                <c:pt idx="8">
                  <c:v>Tree plantations planted after clear cutting (Q31)</c:v>
                </c:pt>
              </c:strCache>
            </c:strRef>
          </c:cat>
          <c:val>
            <c:numRef>
              <c:f>Sheet1!$B$2:$B$10</c:f>
              <c:numCache>
                <c:formatCode>0%</c:formatCode>
                <c:ptCount val="9"/>
                <c:pt idx="0">
                  <c:v>0.08</c:v>
                </c:pt>
                <c:pt idx="1">
                  <c:v>0.1</c:v>
                </c:pt>
                <c:pt idx="2">
                  <c:v>0.15</c:v>
                </c:pt>
                <c:pt idx="3">
                  <c:v>0.2</c:v>
                </c:pt>
                <c:pt idx="4">
                  <c:v>0.35</c:v>
                </c:pt>
                <c:pt idx="5">
                  <c:v>0.36</c:v>
                </c:pt>
                <c:pt idx="6">
                  <c:v>0.4</c:v>
                </c:pt>
                <c:pt idx="7">
                  <c:v>0.51</c:v>
                </c:pt>
                <c:pt idx="8">
                  <c:v>0.56999999999999995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3DA-44E8-AAF8-8894AA73166B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4--Somethat acceptable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Sheet1!$A$2:$A$10</c:f>
              <c:strCache>
                <c:ptCount val="9"/>
                <c:pt idx="0">
                  <c:v>Aerial spraying of herbicides (Q25)</c:v>
                </c:pt>
                <c:pt idx="1">
                  <c:v>Ground spraying of herbicides (Q24)</c:v>
                </c:pt>
                <c:pt idx="2">
                  <c:v>Stand rotation ages &lt; 50 years (Q27)</c:v>
                </c:pt>
                <c:pt idx="3">
                  <c:v>Stand rotation ages &gt; 80 years (Q28)</c:v>
                </c:pt>
                <c:pt idx="4">
                  <c:v>Prescribed burning (Q26)</c:v>
                </c:pt>
                <c:pt idx="5">
                  <c:v>Thinning to reduce fuels, keeping the largest trees (Q30)</c:v>
                </c:pt>
                <c:pt idx="6">
                  <c:v>Mixed species stands including hardwoods and conifers (Q32)</c:v>
                </c:pt>
                <c:pt idx="7">
                  <c:v>Retain some trees in each stand, more than one rotation (Q29)</c:v>
                </c:pt>
                <c:pt idx="8">
                  <c:v>Tree plantations planted after clear cutting (Q31)</c:v>
                </c:pt>
              </c:strCache>
            </c:strRef>
          </c:cat>
          <c:val>
            <c:numRef>
              <c:f>Sheet1!$C$2:$C$10</c:f>
              <c:numCache>
                <c:formatCode>0%</c:formatCode>
                <c:ptCount val="9"/>
                <c:pt idx="0">
                  <c:v>7.0000000000000007E-2</c:v>
                </c:pt>
                <c:pt idx="1">
                  <c:v>0.12</c:v>
                </c:pt>
                <c:pt idx="2">
                  <c:v>0.17</c:v>
                </c:pt>
                <c:pt idx="3">
                  <c:v>0.19</c:v>
                </c:pt>
                <c:pt idx="4">
                  <c:v>0.27</c:v>
                </c:pt>
                <c:pt idx="5">
                  <c:v>0.26</c:v>
                </c:pt>
                <c:pt idx="6">
                  <c:v>0.22</c:v>
                </c:pt>
                <c:pt idx="7">
                  <c:v>0.23</c:v>
                </c:pt>
                <c:pt idx="8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3DA-44E8-AAF8-8894AA73166B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Total</c:v>
                </c:pt>
              </c:strCache>
            </c:strRef>
          </c:tx>
          <c:spPr>
            <a:noFill/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eparator>, </c:separator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Sheet1!$A$2:$A$10</c:f>
              <c:strCache>
                <c:ptCount val="9"/>
                <c:pt idx="0">
                  <c:v>Aerial spraying of herbicides (Q25)</c:v>
                </c:pt>
                <c:pt idx="1">
                  <c:v>Ground spraying of herbicides (Q24)</c:v>
                </c:pt>
                <c:pt idx="2">
                  <c:v>Stand rotation ages &lt; 50 years (Q27)</c:v>
                </c:pt>
                <c:pt idx="3">
                  <c:v>Stand rotation ages &gt; 80 years (Q28)</c:v>
                </c:pt>
                <c:pt idx="4">
                  <c:v>Prescribed burning (Q26)</c:v>
                </c:pt>
                <c:pt idx="5">
                  <c:v>Thinning to reduce fuels, keeping the largest trees (Q30)</c:v>
                </c:pt>
                <c:pt idx="6">
                  <c:v>Mixed species stands including hardwoods and conifers (Q32)</c:v>
                </c:pt>
                <c:pt idx="7">
                  <c:v>Retain some trees in each stand, more than one rotation (Q29)</c:v>
                </c:pt>
                <c:pt idx="8">
                  <c:v>Tree plantations planted after clear cutting (Q31)</c:v>
                </c:pt>
              </c:strCache>
            </c:strRef>
          </c:cat>
          <c:val>
            <c:numRef>
              <c:f>Sheet1!$D$2:$D$10</c:f>
              <c:numCache>
                <c:formatCode>0%</c:formatCode>
                <c:ptCount val="9"/>
                <c:pt idx="0">
                  <c:v>0.15</c:v>
                </c:pt>
                <c:pt idx="1">
                  <c:v>0.22</c:v>
                </c:pt>
                <c:pt idx="2">
                  <c:v>0.33</c:v>
                </c:pt>
                <c:pt idx="3">
                  <c:v>0.39</c:v>
                </c:pt>
                <c:pt idx="4">
                  <c:v>0.62</c:v>
                </c:pt>
                <c:pt idx="5">
                  <c:v>0.62</c:v>
                </c:pt>
                <c:pt idx="6">
                  <c:v>0.62</c:v>
                </c:pt>
                <c:pt idx="7">
                  <c:v>0.73</c:v>
                </c:pt>
                <c:pt idx="8">
                  <c:v>0.73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3DA-44E8-AAF8-8894AA7316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92258543"/>
        <c:axId val="392521023"/>
      </c:barChart>
      <c:catAx>
        <c:axId val="392258543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2521023"/>
        <c:crosses val="autoZero"/>
        <c:auto val="1"/>
        <c:lblAlgn val="ctr"/>
        <c:lblOffset val="100"/>
        <c:noMultiLvlLbl val="0"/>
      </c:catAx>
      <c:valAx>
        <c:axId val="392521023"/>
        <c:scaling>
          <c:orientation val="minMax"/>
          <c:max val="1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225854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Amaury Vogel</dc:creator>
  <cp:keywords/>
  <dc:description/>
  <cp:lastModifiedBy>Amaury Vogel</cp:lastModifiedBy>
  <cp:revision>1</cp:revision>
  <dcterms:created xsi:type="dcterms:W3CDTF">2022-12-26T21:49:00Z</dcterms:created>
  <dcterms:modified xsi:type="dcterms:W3CDTF">2022-12-26T21:50:00Z</dcterms:modified>
</cp:coreProperties>
</file>